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9F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700" w:lineRule="exact"/>
        <w:jc w:val="center"/>
        <w:textAlignment w:val="auto"/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-427355</wp:posOffset>
                </wp:positionV>
                <wp:extent cx="868045" cy="508000"/>
                <wp:effectExtent l="0" t="0" r="8255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7380" y="338455"/>
                          <a:ext cx="868045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1A8A0">
                            <w:pPr>
                              <w:rPr>
                                <w:rFonts w:hint="default" w:ascii="Times New Roman" w:hAnsi="Times New Roman" w:eastAsia="黑体" w:cs="Times New Roman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36"/>
                                <w:szCs w:val="44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45pt;margin-top:-33.65pt;height:40pt;width:68.35pt;z-index:251659264;mso-width-relative:page;mso-height-relative:page;" fillcolor="#FFFFFF [3201]" filled="t" stroked="f" coordsize="21600,21600" o:gfxdata="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6M48b1AAA&#10;AAkBAAAPAAAAAAAAAAEAIAAAACIAAABkcnMvZG93bnJldi54bWxQSwECFAAUAAAACACHTuJAQKs3&#10;x1sCAACYBAAADgAAAAAAAAABACAAAAAj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B11A8A0">
                      <w:pPr>
                        <w:rPr>
                          <w:rFonts w:hint="default" w:ascii="Times New Roman" w:hAnsi="Times New Roman" w:eastAsia="黑体" w:cs="Times New Roman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sz w:val="36"/>
                          <w:szCs w:val="44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研究生社会实践项目类别</w:t>
      </w:r>
    </w:p>
    <w:p w14:paraId="45623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社会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调研</w:t>
      </w:r>
    </w:p>
    <w:p w14:paraId="588F1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社会调查作为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研究生</w:t>
      </w:r>
      <w:r>
        <w:rPr>
          <w:rFonts w:hint="eastAsia" w:ascii="仿宋_GB2312" w:hAnsi="仿宋" w:eastAsia="仿宋_GB2312"/>
          <w:sz w:val="32"/>
          <w:szCs w:val="32"/>
        </w:rPr>
        <w:t>社会实践的一种常见方式，是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" w:eastAsia="仿宋_GB2312"/>
          <w:sz w:val="32"/>
          <w:szCs w:val="32"/>
        </w:rPr>
        <w:t>认识社会、训练能力、提高素质的一种有效途径。利用课余时间，结合思想政治理论课所学知识与专业学习，就社会经济、文化、生态及民众关注热点等课题，以交流学习、参观访问、学术论坛等形式开展调查研究，并对现存问题进行研究和讨论，尝试寻找解决办法。同时在社会调查过程中，能够充分发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" w:eastAsia="仿宋_GB2312"/>
          <w:sz w:val="32"/>
          <w:szCs w:val="32"/>
        </w:rPr>
        <w:t>专业学习能力，为社会经济和文化建设做贡献。</w:t>
      </w:r>
    </w:p>
    <w:p w14:paraId="3AD0E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志愿服务</w:t>
      </w:r>
    </w:p>
    <w:p w14:paraId="2D7B9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" w:eastAsia="仿宋_GB2312"/>
          <w:sz w:val="32"/>
          <w:szCs w:val="32"/>
        </w:rPr>
        <w:t>走出校门，针对社会中的某一服务对象开展一定时长的非盈利、无偿、非职业化援助的活动，包括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" w:eastAsia="仿宋_GB2312"/>
          <w:sz w:val="32"/>
          <w:szCs w:val="32"/>
        </w:rPr>
        <w:t>院认证的志愿者协会和社会组织的公益活动。鼓励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" w:eastAsia="仿宋_GB2312"/>
          <w:sz w:val="32"/>
          <w:szCs w:val="32"/>
        </w:rPr>
        <w:t>积极参加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hAnsi="仿宋" w:eastAsia="仿宋_GB2312"/>
          <w:sz w:val="32"/>
          <w:szCs w:val="32"/>
        </w:rPr>
        <w:t>三下乡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hAnsi="仿宋" w:eastAsia="仿宋_GB2312"/>
          <w:sz w:val="32"/>
          <w:szCs w:val="32"/>
        </w:rPr>
        <w:t>四进社区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仿宋" w:eastAsia="仿宋_GB2312"/>
          <w:sz w:val="32"/>
          <w:szCs w:val="32"/>
        </w:rPr>
        <w:t>、西部计划、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乡村振兴、</w:t>
      </w:r>
      <w:r>
        <w:rPr>
          <w:rFonts w:hint="eastAsia" w:ascii="仿宋_GB2312" w:hAnsi="仿宋" w:eastAsia="仿宋_GB2312"/>
          <w:sz w:val="32"/>
          <w:szCs w:val="32"/>
        </w:rPr>
        <w:t>支教等志愿服务活动，在满足个人精神和能力成长需求的同时，服务社会，用实际行动践行社会主义核心价值观。</w:t>
      </w:r>
    </w:p>
    <w:p w14:paraId="25F1A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勤工助学</w:t>
      </w:r>
    </w:p>
    <w:p w14:paraId="725AB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充分利用校内资源，在机关、学院的行政、管理和教学工作中设立助管、助教等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hAnsi="仿宋" w:eastAsia="仿宋_GB2312"/>
          <w:sz w:val="32"/>
          <w:szCs w:val="32"/>
        </w:rPr>
        <w:t>三助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仿宋" w:eastAsia="仿宋_GB2312"/>
          <w:sz w:val="32"/>
          <w:szCs w:val="32"/>
        </w:rPr>
        <w:t>实践岗位，鼓励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" w:eastAsia="仿宋_GB2312"/>
          <w:sz w:val="32"/>
          <w:szCs w:val="32"/>
        </w:rPr>
        <w:t>参与学校发展建设。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" w:eastAsia="仿宋_GB2312"/>
          <w:sz w:val="32"/>
          <w:szCs w:val="32"/>
        </w:rPr>
        <w:t>也可以参加有组织的社会勤工助学项目，承担机关、企事业单位相关工作，参与社会经济文化的发展建设。其中，硕士生可以通过担任校内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hAnsi="仿宋" w:eastAsia="仿宋_GB2312"/>
          <w:sz w:val="32"/>
          <w:szCs w:val="32"/>
        </w:rPr>
        <w:t>三助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仿宋" w:eastAsia="仿宋_GB2312"/>
          <w:sz w:val="32"/>
          <w:szCs w:val="32"/>
        </w:rPr>
        <w:t>岗位获得社会实践学分。</w:t>
      </w:r>
    </w:p>
    <w:p w14:paraId="07346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四、企业实习</w:t>
      </w:r>
    </w:p>
    <w:p w14:paraId="435C7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鼓励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" w:eastAsia="仿宋_GB2312"/>
          <w:sz w:val="32"/>
          <w:szCs w:val="32"/>
        </w:rPr>
        <w:t>积极参与企业实习生招聘，利用寒暑假等前往实习单位，承担实习单位委任的岗位职能，进行短期实践训练，提升自身就业能力培养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" w:eastAsia="仿宋_GB2312"/>
          <w:sz w:val="32"/>
          <w:szCs w:val="32"/>
        </w:rPr>
        <w:t>的劳动观念和职业道德，为将来走向企业、适应社会打下坚实基础。</w:t>
      </w:r>
    </w:p>
    <w:p w14:paraId="2F026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创新创业</w:t>
      </w:r>
    </w:p>
    <w:p w14:paraId="253F4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引导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" w:eastAsia="仿宋_GB2312"/>
          <w:sz w:val="32"/>
          <w:szCs w:val="32"/>
        </w:rPr>
        <w:t>在社会实践中参与技术改造、工艺革新、先进适用技术传播，为经济社会发展献技出力，不断提高科学素养，培养良好的学术道德，弘扬求真务实、开拓创新的科学精神。规范和促进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" w:eastAsia="仿宋_GB2312"/>
          <w:sz w:val="32"/>
          <w:szCs w:val="32"/>
        </w:rPr>
        <w:t>科研成果转化，鼓励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" w:eastAsia="仿宋_GB2312"/>
          <w:sz w:val="32"/>
          <w:szCs w:val="32"/>
        </w:rPr>
        <w:t>开展创业实践，提高创业技能。</w:t>
      </w:r>
      <w:bookmarkStart w:id="0" w:name="_GoBack"/>
      <w:bookmarkEnd w:id="0"/>
    </w:p>
    <w:p w14:paraId="25A74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挂职锻炼</w:t>
      </w:r>
    </w:p>
    <w:p w14:paraId="78C37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组织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" w:eastAsia="仿宋_GB2312"/>
          <w:sz w:val="32"/>
          <w:szCs w:val="32"/>
        </w:rPr>
        <w:t>到地方机关以及企业、事业单位担任职务，开展为期</w:t>
      </w:r>
      <w:r>
        <w:rPr>
          <w:rFonts w:hint="eastAsia" w:ascii="仿宋_GB2312" w:eastAsia="仿宋_GB2312"/>
          <w:sz w:val="32"/>
          <w:szCs w:val="32"/>
        </w:rPr>
        <w:t>1-6</w:t>
      </w:r>
      <w:r>
        <w:rPr>
          <w:rFonts w:hint="eastAsia" w:ascii="仿宋_GB2312" w:hAnsi="仿宋" w:eastAsia="仿宋_GB2312"/>
          <w:sz w:val="32"/>
          <w:szCs w:val="32"/>
        </w:rPr>
        <w:t>个月的挂职工作实践，根据挂职单位的工作实际和所挂职务实际，积极参与单位的日常管理、技术开发和生产劳动等活动，提升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" w:eastAsia="仿宋_GB2312"/>
          <w:sz w:val="32"/>
          <w:szCs w:val="32"/>
        </w:rPr>
        <w:t>在社会发展建设中的责任感、使命感和综合素质，发挥专业优势，为企事业单位管理改革、技术升级等方面做贡献并推动产学研政结合，创造更多的经济效益和社会效益。</w:t>
      </w:r>
    </w:p>
    <w:p w14:paraId="19D1F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七、项目</w:t>
      </w:r>
      <w:r>
        <w:rPr>
          <w:rFonts w:hint="eastAsia" w:ascii="黑体" w:hAnsi="黑体" w:eastAsia="黑体" w:cs="黑体"/>
          <w:sz w:val="32"/>
          <w:szCs w:val="32"/>
        </w:rPr>
        <w:t>合作研发</w:t>
      </w:r>
    </w:p>
    <w:p w14:paraId="41289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通过学校、学院、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" w:eastAsia="仿宋_GB2312"/>
          <w:sz w:val="32"/>
          <w:szCs w:val="32"/>
        </w:rPr>
        <w:t>本人与企事业单位建立联系，企事业单位为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" w:eastAsia="仿宋_GB2312"/>
          <w:sz w:val="32"/>
          <w:szCs w:val="32"/>
        </w:rPr>
        <w:t>提供合作研发平台，在企事业单位开展新项目新产品研发、设备攻关等工作；导师与校外合作开展科学研究，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" w:eastAsia="仿宋_GB2312"/>
          <w:sz w:val="32"/>
          <w:szCs w:val="32"/>
        </w:rPr>
        <w:t>作为主要参与人，离开学校开展项目建设、科学研究、业务交流等工作。</w:t>
      </w:r>
    </w:p>
    <w:p w14:paraId="468C0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国际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交流</w:t>
      </w:r>
      <w:r>
        <w:rPr>
          <w:rFonts w:hint="eastAsia" w:ascii="黑体" w:hAnsi="黑体" w:eastAsia="黑体" w:cs="黑体"/>
          <w:sz w:val="32"/>
          <w:szCs w:val="32"/>
        </w:rPr>
        <w:t>合作</w:t>
      </w:r>
    </w:p>
    <w:p w14:paraId="7D430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通过个人申请或机构推荐等方式，获得国家认证的专项基金支持，参加国际组织全球实习生项目，在国内外开展各类实践活动。结合学校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" w:eastAsia="仿宋_GB2312"/>
          <w:sz w:val="32"/>
          <w:szCs w:val="32"/>
        </w:rPr>
        <w:t>国际交流项目设立实践内容，在国外完成实践工作。</w:t>
      </w:r>
    </w:p>
    <w:p w14:paraId="6393C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九、其他</w:t>
      </w:r>
      <w:r>
        <w:rPr>
          <w:rFonts w:hint="eastAsia" w:ascii="黑体" w:hAnsi="黑体" w:eastAsia="黑体" w:cs="黑体"/>
          <w:sz w:val="32"/>
          <w:szCs w:val="32"/>
        </w:rPr>
        <w:t>实践</w:t>
      </w:r>
    </w:p>
    <w:p w14:paraId="5CB0C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充分调动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" w:eastAsia="仿宋_GB2312"/>
          <w:sz w:val="32"/>
          <w:szCs w:val="32"/>
        </w:rPr>
        <w:t>的积极性和主动性，鼓励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" w:eastAsia="仿宋_GB2312"/>
          <w:sz w:val="32"/>
          <w:szCs w:val="32"/>
        </w:rPr>
        <w:t>自主设计符合社会实践的基本要求、以个人或集体的形式、能够促进实践创新能力的社会实践项目，支持和指导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" w:eastAsia="仿宋_GB2312"/>
          <w:sz w:val="32"/>
          <w:szCs w:val="32"/>
        </w:rPr>
        <w:t>开展对学校与社会相关领域合作起到积极作用的社会实践活动。</w:t>
      </w:r>
    </w:p>
    <w:p w14:paraId="15C63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1525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2774315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06172A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color w:val="auto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4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yDCld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06172A">
                    <w:pPr>
                      <w:pStyle w:val="2"/>
                      <w:rPr>
                        <w:rFonts w:hint="default" w:ascii="Times New Roman" w:hAnsi="Times New Roman" w:cs="Times New Roman"/>
                        <w:color w:val="auto"/>
                        <w:sz w:val="21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color w:val="auto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YjRlMWY0ZWIwZWJmMzU4YzdjYWMwOTM4YjcxYmYifQ=="/>
  </w:docVars>
  <w:rsids>
    <w:rsidRoot w:val="3B327283"/>
    <w:rsid w:val="22AA3280"/>
    <w:rsid w:val="3112096E"/>
    <w:rsid w:val="3B327283"/>
    <w:rsid w:val="3D2C4B47"/>
    <w:rsid w:val="56BE6C7A"/>
    <w:rsid w:val="61D83420"/>
    <w:rsid w:val="65091BA2"/>
    <w:rsid w:val="72706ED5"/>
    <w:rsid w:val="7FB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1217</Words>
  <Characters>1219</Characters>
  <Lines>0</Lines>
  <Paragraphs>0</Paragraphs>
  <TotalTime>1</TotalTime>
  <ScaleCrop>false</ScaleCrop>
  <LinksUpToDate>false</LinksUpToDate>
  <CharactersWithSpaces>1219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2024-03-07T13:06:00Z</dcterms:created>
  <dc:creator>Erfan</dc:creator>
  <cp:lastModifiedBy>cjy</cp:lastModifiedBy>
  <dcterms:modified xsi:type="dcterms:W3CDTF">2024-12-20T07:29:45Z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04BCC4B3BB764763B9370F5B784DAB67_11</vt:lpwstr>
  </property>
</Properties>
</file>